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A38529A" w:rsidR="008A22CF" w:rsidRPr="00FB5D8E" w:rsidRDefault="008A22CF" w:rsidP="008A22CF">
      <w:pPr>
        <w:pStyle w:val="3GPPHeader"/>
        <w:spacing w:after="60"/>
        <w:rPr>
          <w:lang w:val="en-US"/>
        </w:rPr>
      </w:pPr>
      <w:bookmarkStart w:id="0" w:name="_Hlk487029736"/>
      <w:bookmarkEnd w:id="0"/>
      <w:r w:rsidRPr="00FB5D8E">
        <w:rPr>
          <w:lang w:val="en-US"/>
        </w:rPr>
        <w:t>3GPP TSG-RAN WG4</w:t>
      </w:r>
      <w:r w:rsidR="001D4850" w:rsidRPr="00FB5D8E">
        <w:rPr>
          <w:lang w:val="en-US"/>
        </w:rPr>
        <w:t xml:space="preserve"> Meeting</w:t>
      </w:r>
      <w:r w:rsidR="005071CC" w:rsidRPr="00FB5D8E">
        <w:rPr>
          <w:lang w:val="en-US"/>
        </w:rPr>
        <w:t xml:space="preserve"> </w:t>
      </w:r>
      <w:r w:rsidR="00837AD9" w:rsidRPr="00FB5D8E">
        <w:rPr>
          <w:rFonts w:eastAsia="PMingLiU" w:cs="Arial"/>
          <w:color w:val="000000" w:themeColor="text1"/>
          <w:sz w:val="22"/>
          <w:lang w:val="en-US" w:eastAsia="ja-JP"/>
        </w:rPr>
        <w:t>#</w:t>
      </w:r>
      <w:bookmarkStart w:id="1" w:name="_Hlk110436944"/>
      <w:r w:rsidR="00837AD9" w:rsidRPr="00FB5D8E">
        <w:rPr>
          <w:rFonts w:eastAsia="PMingLiU" w:cs="Arial"/>
          <w:color w:val="000000" w:themeColor="text1"/>
          <w:sz w:val="22"/>
          <w:lang w:val="en-US" w:eastAsia="ja-JP"/>
        </w:rPr>
        <w:t>10</w:t>
      </w:r>
      <w:bookmarkEnd w:id="1"/>
      <w:r w:rsidR="005D7692" w:rsidRPr="00FB5D8E">
        <w:rPr>
          <w:rFonts w:eastAsia="PMingLiU" w:cs="Arial"/>
          <w:color w:val="000000" w:themeColor="text1"/>
          <w:sz w:val="22"/>
          <w:lang w:val="en-US" w:eastAsia="ja-JP"/>
        </w:rPr>
        <w:t>7</w:t>
      </w:r>
      <w:r w:rsidRPr="00FB5D8E">
        <w:rPr>
          <w:lang w:val="en-US"/>
        </w:rPr>
        <w:tab/>
      </w:r>
      <w:r w:rsidR="005863F3" w:rsidRPr="00FB5D8E">
        <w:rPr>
          <w:lang w:val="en-US"/>
        </w:rPr>
        <w:t>R4-</w:t>
      </w:r>
      <w:r w:rsidR="00383317" w:rsidRPr="00FB5D8E">
        <w:rPr>
          <w:lang w:val="en-US"/>
        </w:rPr>
        <w:t>2</w:t>
      </w:r>
      <w:r w:rsidR="00AE5BBB" w:rsidRPr="00FB5D8E">
        <w:rPr>
          <w:lang w:val="en-US"/>
        </w:rPr>
        <w:t>30</w:t>
      </w:r>
      <w:r w:rsidR="00FB5D8E" w:rsidRPr="00FB5D8E">
        <w:rPr>
          <w:lang w:val="en-US"/>
        </w:rPr>
        <w:t>8</w:t>
      </w:r>
      <w:r w:rsidR="00FB5D8E">
        <w:rPr>
          <w:lang w:val="en-US"/>
        </w:rPr>
        <w:t>375</w:t>
      </w:r>
    </w:p>
    <w:p w14:paraId="65F55581" w14:textId="06A92299" w:rsidR="008A22CF" w:rsidRPr="00FB5D8E" w:rsidRDefault="005D7692" w:rsidP="008A22CF">
      <w:pPr>
        <w:pStyle w:val="3GPPHeader"/>
        <w:rPr>
          <w:lang w:val="en-US"/>
        </w:rPr>
      </w:pPr>
      <w:r w:rsidRPr="00FB5D8E">
        <w:rPr>
          <w:lang w:val="en-US"/>
        </w:rPr>
        <w:t>Incheon, South Korea, May 22</w:t>
      </w:r>
      <w:r w:rsidR="002464EE" w:rsidRPr="00FB5D8E">
        <w:rPr>
          <w:vertAlign w:val="superscript"/>
          <w:lang w:val="en-US"/>
        </w:rPr>
        <w:t>nd</w:t>
      </w:r>
      <w:r w:rsidR="002464EE" w:rsidRPr="00FB5D8E">
        <w:rPr>
          <w:lang w:val="en-US"/>
        </w:rPr>
        <w:t xml:space="preserve"> </w:t>
      </w:r>
      <w:r w:rsidRPr="00FB5D8E">
        <w:rPr>
          <w:lang w:val="en-US"/>
        </w:rPr>
        <w:t>– 26</w:t>
      </w:r>
      <w:r w:rsidR="002464EE" w:rsidRPr="00FB5D8E">
        <w:rPr>
          <w:vertAlign w:val="superscript"/>
          <w:lang w:val="en-US"/>
        </w:rPr>
        <w:t>th</w:t>
      </w:r>
      <w:r w:rsidRPr="00FB5D8E">
        <w:rPr>
          <w:lang w:val="en-US"/>
        </w:rPr>
        <w:t>, 2023</w:t>
      </w:r>
      <w:r w:rsidR="002464EE" w:rsidRPr="00FB5D8E">
        <w:rPr>
          <w:lang w:val="en-US"/>
        </w:rPr>
        <w:t xml:space="preserve"> </w:t>
      </w:r>
    </w:p>
    <w:p w14:paraId="2D8C5D3B" w14:textId="77777777" w:rsidR="00837AD9" w:rsidRPr="00FB5D8E" w:rsidRDefault="00837AD9" w:rsidP="008A22CF">
      <w:pPr>
        <w:pStyle w:val="3GPPHeader"/>
        <w:rPr>
          <w:lang w:val="en-US"/>
        </w:rPr>
      </w:pPr>
    </w:p>
    <w:p w14:paraId="0FDE225D" w14:textId="27585F1A" w:rsidR="008A22CF" w:rsidRPr="00FB5D8E" w:rsidRDefault="008A22CF" w:rsidP="008A22CF">
      <w:pPr>
        <w:pStyle w:val="3GPPHeader"/>
        <w:rPr>
          <w:sz w:val="22"/>
          <w:lang w:val="en-US"/>
        </w:rPr>
      </w:pPr>
      <w:r w:rsidRPr="00FB5D8E">
        <w:rPr>
          <w:sz w:val="22"/>
          <w:lang w:val="en-US"/>
        </w:rPr>
        <w:t>Agenda Item:</w:t>
      </w:r>
      <w:r w:rsidRPr="00FB5D8E">
        <w:rPr>
          <w:sz w:val="22"/>
          <w:lang w:val="en-US"/>
        </w:rPr>
        <w:tab/>
      </w:r>
      <w:r w:rsidR="00474908" w:rsidRPr="00FB5D8E">
        <w:rPr>
          <w:sz w:val="22"/>
          <w:lang w:val="en-US"/>
        </w:rPr>
        <w:t>4</w:t>
      </w:r>
      <w:r w:rsidR="00927488" w:rsidRPr="00FB5D8E">
        <w:rPr>
          <w:sz w:val="22"/>
          <w:lang w:val="en-US"/>
        </w:rPr>
        <w:t>.</w:t>
      </w:r>
      <w:r w:rsidR="00474908" w:rsidRPr="00FB5D8E">
        <w:rPr>
          <w:sz w:val="22"/>
          <w:lang w:val="en-US"/>
        </w:rPr>
        <w:t>1</w:t>
      </w:r>
    </w:p>
    <w:p w14:paraId="57D8FDDC" w14:textId="4993D1F6" w:rsidR="008A22CF" w:rsidRPr="00FB5D8E" w:rsidRDefault="008A22CF" w:rsidP="008A22CF">
      <w:pPr>
        <w:pStyle w:val="3GPPHeader"/>
        <w:rPr>
          <w:sz w:val="22"/>
          <w:lang w:val="en-US"/>
        </w:rPr>
      </w:pPr>
      <w:r w:rsidRPr="00FB5D8E">
        <w:rPr>
          <w:sz w:val="22"/>
          <w:lang w:val="en-US"/>
        </w:rPr>
        <w:t>Source:</w:t>
      </w:r>
      <w:r w:rsidRPr="00FB5D8E">
        <w:rPr>
          <w:sz w:val="22"/>
          <w:lang w:val="en-US"/>
        </w:rPr>
        <w:tab/>
      </w:r>
      <w:r w:rsidR="00837AD9" w:rsidRPr="00FB5D8E">
        <w:rPr>
          <w:sz w:val="22"/>
          <w:lang w:val="en-US"/>
        </w:rPr>
        <w:t>MediaTek Inc.</w:t>
      </w:r>
    </w:p>
    <w:p w14:paraId="3A8FC3FA" w14:textId="5949E54E" w:rsidR="008A22CF" w:rsidRPr="00FB5D8E" w:rsidRDefault="008A22CF" w:rsidP="0060526C">
      <w:pPr>
        <w:pStyle w:val="3GPPHeader"/>
        <w:ind w:left="1701" w:hanging="1701"/>
        <w:rPr>
          <w:sz w:val="22"/>
          <w:lang w:val="en-US"/>
        </w:rPr>
      </w:pPr>
      <w:r w:rsidRPr="00FB5D8E">
        <w:rPr>
          <w:sz w:val="22"/>
          <w:lang w:val="en-US"/>
        </w:rPr>
        <w:t>Title:</w:t>
      </w:r>
      <w:r w:rsidR="0060526C" w:rsidRPr="00FB5D8E">
        <w:rPr>
          <w:sz w:val="22"/>
          <w:lang w:val="en-US"/>
        </w:rPr>
        <w:t xml:space="preserve"> </w:t>
      </w:r>
      <w:r w:rsidR="0060526C" w:rsidRPr="00FB5D8E">
        <w:rPr>
          <w:sz w:val="22"/>
          <w:lang w:val="en-US"/>
        </w:rPr>
        <w:tab/>
      </w:r>
      <w:r w:rsidR="00B27C99" w:rsidRPr="00FB5D8E">
        <w:rPr>
          <w:sz w:val="22"/>
          <w:lang w:val="en-US"/>
        </w:rPr>
        <w:t>Further discussion on the inconsistency issue for intraband EN-DC</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4EA8B005" w14:textId="77777777" w:rsidR="00EB0789" w:rsidRPr="00D41564" w:rsidRDefault="00EB0789" w:rsidP="00EB0789">
      <w:pPr>
        <w:pStyle w:val="Heading1"/>
        <w:numPr>
          <w:ilvl w:val="0"/>
          <w:numId w:val="3"/>
        </w:numPr>
        <w:rPr>
          <w:lang w:val="en-US"/>
        </w:rPr>
      </w:pPr>
      <w:r w:rsidRPr="00D41564">
        <w:rPr>
          <w:lang w:val="en-US"/>
        </w:rPr>
        <w:t>Introduction</w:t>
      </w:r>
    </w:p>
    <w:p w14:paraId="387595A5" w14:textId="50D7F363" w:rsidR="00EB0789" w:rsidRPr="00FB5D8E" w:rsidRDefault="00EB0789" w:rsidP="00EB0789">
      <w:pPr>
        <w:jc w:val="both"/>
        <w:rPr>
          <w:lang w:val="en-US"/>
        </w:rPr>
      </w:pPr>
      <w:bookmarkStart w:id="2" w:name="OLE_LINK13"/>
      <w:r w:rsidRPr="00FB5D8E">
        <w:rPr>
          <w:lang w:val="en-US"/>
        </w:rPr>
        <w:t>In RAN4#10</w:t>
      </w:r>
      <w:r w:rsidR="003E38C2" w:rsidRPr="00FB5D8E">
        <w:rPr>
          <w:lang w:val="en-US"/>
        </w:rPr>
        <w:t>6</w:t>
      </w:r>
      <w:r w:rsidRPr="00FB5D8E">
        <w:rPr>
          <w:lang w:val="en-US"/>
        </w:rPr>
        <w:t xml:space="preserve">, RAN4 continued the discussion on the intra-band ENDC support capability, </w:t>
      </w:r>
      <w:r w:rsidR="003E38C2" w:rsidRPr="00FB5D8E">
        <w:rPr>
          <w:lang w:val="en-US"/>
        </w:rPr>
        <w:t xml:space="preserve">and </w:t>
      </w:r>
      <w:r w:rsidRPr="00FB5D8E">
        <w:rPr>
          <w:lang w:val="en-US"/>
        </w:rPr>
        <w:t>a WF was also agreed [</w:t>
      </w:r>
      <w:r w:rsidR="003E38C2" w:rsidRPr="00FB5D8E">
        <w:rPr>
          <w:lang w:val="en-US"/>
        </w:rPr>
        <w:t>1</w:t>
      </w:r>
      <w:r w:rsidRPr="00FB5D8E">
        <w:rPr>
          <w:lang w:val="en-US"/>
        </w:rPr>
        <w:t>], where some issues are still open particularly related to the current RAN4 specs</w:t>
      </w:r>
      <w:r w:rsidR="003E38C2" w:rsidRPr="00FB5D8E">
        <w:rPr>
          <w:lang w:val="en-US"/>
        </w:rPr>
        <w:t xml:space="preserve"> handling</w:t>
      </w:r>
      <w:r w:rsidRPr="00FB5D8E">
        <w:rPr>
          <w:lang w:val="en-US"/>
        </w:rPr>
        <w:t>:</w:t>
      </w:r>
    </w:p>
    <w:tbl>
      <w:tblPr>
        <w:tblStyle w:val="TableGrid"/>
        <w:tblW w:w="0" w:type="auto"/>
        <w:tblLook w:val="04A0" w:firstRow="1" w:lastRow="0" w:firstColumn="1" w:lastColumn="0" w:noHBand="0" w:noVBand="1"/>
      </w:tblPr>
      <w:tblGrid>
        <w:gridCol w:w="9629"/>
      </w:tblGrid>
      <w:tr w:rsidR="00EB0789" w:rsidRPr="00FB5D8E" w14:paraId="292E4C53" w14:textId="77777777" w:rsidTr="008A1BCB">
        <w:tc>
          <w:tcPr>
            <w:tcW w:w="9629" w:type="dxa"/>
          </w:tcPr>
          <w:p w14:paraId="395C055E" w14:textId="77777777" w:rsidR="0044231E" w:rsidRPr="009B575F" w:rsidRDefault="0044231E" w:rsidP="0044231E">
            <w:pPr>
              <w:pStyle w:val="Heading2"/>
              <w:outlineLvl w:val="1"/>
              <w:rPr>
                <w:i/>
                <w:iCs/>
                <w:lang w:eastAsia="zh-CN"/>
              </w:rPr>
            </w:pPr>
            <w:r w:rsidRPr="009B575F">
              <w:rPr>
                <w:i/>
                <w:iCs/>
              </w:rPr>
              <w:t>Handling of Intra-band EN-DC configurations in the specification</w:t>
            </w:r>
          </w:p>
          <w:p w14:paraId="1A46C736" w14:textId="77777777" w:rsidR="0044231E" w:rsidRPr="00FB5D8E" w:rsidRDefault="0044231E" w:rsidP="0044231E">
            <w:pPr>
              <w:pStyle w:val="B1"/>
              <w:rPr>
                <w:i/>
                <w:iCs/>
                <w:lang w:val="en-US"/>
              </w:rPr>
            </w:pPr>
            <w:r w:rsidRPr="00FB5D8E">
              <w:rPr>
                <w:i/>
                <w:iCs/>
                <w:lang w:val="en-US"/>
              </w:rPr>
              <w:t>-</w:t>
            </w:r>
            <w:r w:rsidRPr="00FB5D8E">
              <w:rPr>
                <w:i/>
                <w:iCs/>
                <w:lang w:val="en-US"/>
              </w:rPr>
              <w:tab/>
              <w:t>Option 1: RAN4 to specify Config#1 (both UL and DL has contiguous spectrum), Config#2 (both UL and DL has non-contiguous spectrum) and Config#3 (UL and DL has different contiguity) in different sub-clauses.</w:t>
            </w:r>
          </w:p>
          <w:p w14:paraId="285510DA" w14:textId="77777777" w:rsidR="0044231E" w:rsidRPr="00FB5D8E" w:rsidRDefault="0044231E" w:rsidP="0044231E">
            <w:pPr>
              <w:pStyle w:val="B1"/>
              <w:rPr>
                <w:i/>
                <w:iCs/>
                <w:lang w:val="en-US"/>
              </w:rPr>
            </w:pPr>
            <w:r w:rsidRPr="00FB5D8E">
              <w:rPr>
                <w:i/>
                <w:iCs/>
                <w:lang w:val="en-US"/>
              </w:rPr>
              <w:t>-</w:t>
            </w:r>
            <w:r w:rsidRPr="00FB5D8E">
              <w:rPr>
                <w:i/>
                <w:iCs/>
                <w:lang w:val="en-US"/>
              </w:rPr>
              <w:tab/>
              <w:t>Option 2: Keep existing clauses and handle any combinations with intra-band DL contiguous EN-DC with intra-band UL non-contiguous EN-DC in mixed contiguous and non-contiguous tables.</w:t>
            </w:r>
          </w:p>
          <w:p w14:paraId="62743171" w14:textId="77777777" w:rsidR="0044231E" w:rsidRPr="00FB5D8E" w:rsidRDefault="0044231E" w:rsidP="0044231E">
            <w:pPr>
              <w:spacing w:afterLines="50" w:after="120"/>
              <w:rPr>
                <w:b/>
                <w:i/>
                <w:iCs/>
                <w:lang w:val="en-US"/>
              </w:rPr>
            </w:pPr>
          </w:p>
          <w:p w14:paraId="5918D849" w14:textId="1E99A960" w:rsidR="00EB0789" w:rsidRPr="00FB5D8E" w:rsidRDefault="0044231E" w:rsidP="0044231E">
            <w:pPr>
              <w:jc w:val="both"/>
              <w:rPr>
                <w:i/>
                <w:iCs/>
                <w:lang w:val="en-US"/>
              </w:rPr>
            </w:pPr>
            <w:r w:rsidRPr="00FB5D8E">
              <w:rPr>
                <w:b/>
                <w:i/>
                <w:iCs/>
                <w:lang w:val="en-US"/>
              </w:rPr>
              <w:t xml:space="preserve">&lt;Way forward&gt;: </w:t>
            </w:r>
            <w:r w:rsidRPr="00FB5D8E">
              <w:rPr>
                <w:bCs/>
                <w:i/>
                <w:iCs/>
                <w:lang w:val="en-US"/>
              </w:rPr>
              <w:t>Companies are requested to provide further input next meeting</w:t>
            </w:r>
          </w:p>
        </w:tc>
      </w:tr>
    </w:tbl>
    <w:p w14:paraId="7032E3E4" w14:textId="77777777" w:rsidR="00EB0789" w:rsidRPr="00FB5D8E" w:rsidRDefault="00EB0789" w:rsidP="00EB0789">
      <w:pPr>
        <w:jc w:val="both"/>
        <w:rPr>
          <w:lang w:val="en-US"/>
        </w:rPr>
      </w:pPr>
    </w:p>
    <w:p w14:paraId="6B5D9690" w14:textId="1F961528" w:rsidR="00EB0789" w:rsidRPr="00FB5D8E" w:rsidRDefault="00EB0789" w:rsidP="00EB0789">
      <w:pPr>
        <w:jc w:val="both"/>
        <w:rPr>
          <w:lang w:val="en-US"/>
        </w:rPr>
      </w:pPr>
      <w:r w:rsidRPr="00FB5D8E">
        <w:rPr>
          <w:lang w:val="en-US"/>
        </w:rPr>
        <w:t xml:space="preserve">In this contribution, we </w:t>
      </w:r>
      <w:r w:rsidR="009B575F" w:rsidRPr="00FB5D8E">
        <w:rPr>
          <w:lang w:val="en-US"/>
        </w:rPr>
        <w:t xml:space="preserve">continue to discuss and </w:t>
      </w:r>
      <w:r w:rsidRPr="00FB5D8E">
        <w:rPr>
          <w:lang w:val="en-US"/>
        </w:rPr>
        <w:t xml:space="preserve">propose </w:t>
      </w:r>
      <w:r w:rsidR="009B575F" w:rsidRPr="00FB5D8E">
        <w:rPr>
          <w:lang w:val="en-US"/>
        </w:rPr>
        <w:t>the</w:t>
      </w:r>
      <w:r w:rsidRPr="00FB5D8E">
        <w:rPr>
          <w:lang w:val="en-US"/>
        </w:rPr>
        <w:t xml:space="preserve"> solution to clearly associate the three-state </w:t>
      </w:r>
      <w:r w:rsidRPr="00FB5D8E">
        <w:rPr>
          <w:i/>
          <w:iCs/>
          <w:lang w:val="en-US"/>
        </w:rPr>
        <w:t>intraBandENDC-Support {contiguous, non-contiguous, both}</w:t>
      </w:r>
      <w:r w:rsidRPr="00FB5D8E">
        <w:rPr>
          <w:lang w:val="en-US"/>
        </w:rPr>
        <w:t xml:space="preserve"> to RAN4 specs sub-clauses. </w:t>
      </w:r>
    </w:p>
    <w:bookmarkEnd w:id="2"/>
    <w:p w14:paraId="00661285" w14:textId="77777777" w:rsidR="00EB0789" w:rsidRDefault="00EB0789" w:rsidP="00EB0789">
      <w:pPr>
        <w:pStyle w:val="Heading1"/>
        <w:numPr>
          <w:ilvl w:val="0"/>
          <w:numId w:val="3"/>
        </w:numPr>
        <w:rPr>
          <w:lang w:val="en-US"/>
        </w:rPr>
      </w:pPr>
      <w:r w:rsidRPr="009011F0">
        <w:rPr>
          <w:lang w:val="en-US"/>
        </w:rPr>
        <w:t>Discussion</w:t>
      </w:r>
    </w:p>
    <w:p w14:paraId="66E123B3" w14:textId="77777777" w:rsidR="00EB0789" w:rsidRPr="00B24672" w:rsidRDefault="00EB0789" w:rsidP="00EB0789">
      <w:pPr>
        <w:pStyle w:val="Heading2"/>
        <w:rPr>
          <w:lang w:val="en-US"/>
        </w:rPr>
      </w:pPr>
      <w:r w:rsidRPr="00B24672">
        <w:rPr>
          <w:lang w:val="en-US"/>
        </w:rPr>
        <w:t>2.1 Intra-band EN-DC configuration</w:t>
      </w:r>
      <w:r>
        <w:rPr>
          <w:lang w:val="en-US"/>
        </w:rPr>
        <w:t>s in RAN4 specs</w:t>
      </w:r>
    </w:p>
    <w:p w14:paraId="5BF76F0C" w14:textId="675FD3B5" w:rsidR="003A4281" w:rsidRPr="00FB5D8E" w:rsidRDefault="003A4281" w:rsidP="00EB0789">
      <w:pPr>
        <w:jc w:val="both"/>
        <w:rPr>
          <w:lang w:val="en-US"/>
        </w:rPr>
      </w:pPr>
      <w:r w:rsidRPr="00FB5D8E">
        <w:rPr>
          <w:lang w:val="en-US"/>
        </w:rPr>
        <w:t>As discussed in our previous paper [</w:t>
      </w:r>
      <w:r w:rsidR="00336D0E" w:rsidRPr="00FB5D8E">
        <w:rPr>
          <w:lang w:val="en-US"/>
        </w:rPr>
        <w:t>2</w:t>
      </w:r>
      <w:r w:rsidRPr="00FB5D8E">
        <w:rPr>
          <w:lang w:val="en-US"/>
        </w:rPr>
        <w:t xml:space="preserve">], the </w:t>
      </w:r>
      <w:r w:rsidR="00EB0789" w:rsidRPr="00FB5D8E">
        <w:rPr>
          <w:lang w:val="en-US"/>
        </w:rPr>
        <w:t>intra-band EN-DC support capability</w:t>
      </w:r>
      <w:r w:rsidRPr="00FB5D8E">
        <w:rPr>
          <w:lang w:val="en-US"/>
        </w:rPr>
        <w:t xml:space="preserve"> </w:t>
      </w:r>
      <w:r w:rsidRPr="00FB5D8E">
        <w:rPr>
          <w:i/>
          <w:iCs/>
          <w:lang w:val="en-US"/>
        </w:rPr>
        <w:t>intraBandENDC-Support</w:t>
      </w:r>
      <w:r w:rsidR="00EB0789" w:rsidRPr="00FB5D8E">
        <w:rPr>
          <w:lang w:val="en-US"/>
        </w:rPr>
        <w:t>,</w:t>
      </w:r>
      <w:r w:rsidRPr="00FB5D8E">
        <w:rPr>
          <w:lang w:val="en-US"/>
        </w:rPr>
        <w:t>does not differentiate its contiguity at UL or DL, which means the IE applies to both UL and DL, and contiguity of both UL and DL is implicitly assumed to be the same. therefore,</w:t>
      </w:r>
      <w:r w:rsidR="00EB0789" w:rsidRPr="00FB5D8E">
        <w:rPr>
          <w:lang w:val="en-US"/>
        </w:rPr>
        <w:t xml:space="preserve"> “contiguous” means </w:t>
      </w:r>
      <w:r w:rsidRPr="00FB5D8E">
        <w:rPr>
          <w:lang w:val="en-US"/>
        </w:rPr>
        <w:t>both UL and DL are contiguous</w:t>
      </w:r>
      <w:r w:rsidR="002C0C71" w:rsidRPr="00FB5D8E">
        <w:rPr>
          <w:lang w:val="en-US"/>
        </w:rPr>
        <w:t xml:space="preserve"> (the configuration set labelled as “Config#1”)</w:t>
      </w:r>
      <w:r w:rsidRPr="00FB5D8E">
        <w:rPr>
          <w:lang w:val="en-US"/>
        </w:rPr>
        <w:t>, and “non-contiguous” means both UL and DL are non-contiguous</w:t>
      </w:r>
      <w:r w:rsidR="002C0C71" w:rsidRPr="00FB5D8E">
        <w:rPr>
          <w:lang w:val="en-US"/>
        </w:rPr>
        <w:t xml:space="preserve"> ((the configuration set labelled as “Config</w:t>
      </w:r>
      <w:r w:rsidR="00336D0E" w:rsidRPr="00FB5D8E">
        <w:rPr>
          <w:lang w:val="en-US"/>
        </w:rPr>
        <w:t xml:space="preserve"> </w:t>
      </w:r>
      <w:r w:rsidR="002C0C71" w:rsidRPr="00FB5D8E">
        <w:rPr>
          <w:lang w:val="en-US"/>
        </w:rPr>
        <w:t>#2”))</w:t>
      </w:r>
      <w:r w:rsidRPr="00FB5D8E">
        <w:rPr>
          <w:lang w:val="en-US"/>
        </w:rPr>
        <w:t>.</w:t>
      </w:r>
    </w:p>
    <w:p w14:paraId="53405D4A" w14:textId="4A5E6288" w:rsidR="003A4281" w:rsidRPr="00FB5D8E" w:rsidRDefault="003A4281" w:rsidP="00EB0789">
      <w:pPr>
        <w:jc w:val="both"/>
        <w:rPr>
          <w:lang w:val="en-US"/>
        </w:rPr>
      </w:pPr>
      <w:r w:rsidRPr="00FB5D8E">
        <w:rPr>
          <w:b/>
          <w:bCs/>
          <w:lang w:val="en-US"/>
        </w:rPr>
        <w:t xml:space="preserve">Observation 1: In the current RAN2 specs, the IE </w:t>
      </w:r>
      <w:bookmarkStart w:id="3" w:name="_Hlk134370781"/>
      <w:r w:rsidRPr="00FB5D8E">
        <w:rPr>
          <w:b/>
          <w:bCs/>
          <w:lang w:val="en-US"/>
        </w:rPr>
        <w:t>“</w:t>
      </w:r>
      <w:r w:rsidRPr="00FB5D8E">
        <w:rPr>
          <w:b/>
          <w:bCs/>
          <w:i/>
          <w:iCs/>
          <w:lang w:val="en-US"/>
        </w:rPr>
        <w:t>intraBandENDC-Support</w:t>
      </w:r>
      <w:r w:rsidRPr="00FB5D8E">
        <w:rPr>
          <w:b/>
          <w:bCs/>
          <w:lang w:val="en-US"/>
        </w:rPr>
        <w:t>”</w:t>
      </w:r>
      <w:bookmarkEnd w:id="3"/>
      <w:r w:rsidRPr="00FB5D8E">
        <w:rPr>
          <w:b/>
          <w:bCs/>
          <w:lang w:val="en-US"/>
        </w:rPr>
        <w:t xml:space="preserve"> does not differentiate UL and DL, therefore implies the same spectrum contiguity of both UL and DL.</w:t>
      </w:r>
    </w:p>
    <w:p w14:paraId="03D28455" w14:textId="745D04C7" w:rsidR="00EB0789" w:rsidRPr="00FB5D8E" w:rsidRDefault="00EB0789" w:rsidP="00EB0789">
      <w:pPr>
        <w:jc w:val="both"/>
        <w:rPr>
          <w:lang w:val="en-US"/>
        </w:rPr>
      </w:pPr>
      <w:r w:rsidRPr="00FB5D8E">
        <w:rPr>
          <w:lang w:val="en-US"/>
        </w:rPr>
        <w:lastRenderedPageBreak/>
        <w:t xml:space="preserve">However, </w:t>
      </w:r>
      <w:r w:rsidR="00F1623B" w:rsidRPr="00FB5D8E">
        <w:rPr>
          <w:lang w:val="en-US"/>
        </w:rPr>
        <w:t xml:space="preserve">there are cases introduced in </w:t>
      </w:r>
      <w:r w:rsidRPr="00FB5D8E">
        <w:rPr>
          <w:lang w:val="en-US"/>
        </w:rPr>
        <w:t xml:space="preserve">RAN4 </w:t>
      </w:r>
      <w:r w:rsidR="00F1623B" w:rsidRPr="00FB5D8E">
        <w:rPr>
          <w:lang w:val="en-US"/>
        </w:rPr>
        <w:t>specs</w:t>
      </w:r>
      <w:r w:rsidRPr="00FB5D8E">
        <w:rPr>
          <w:lang w:val="en-US"/>
        </w:rPr>
        <w:t xml:space="preserve"> where UL and DL have different intra-band contiguity, i.e., mixed cases</w:t>
      </w:r>
      <w:r w:rsidR="002C0C71" w:rsidRPr="00FB5D8E">
        <w:rPr>
          <w:lang w:val="en-US"/>
        </w:rPr>
        <w:t xml:space="preserve"> (the configuration set labelled as “Config</w:t>
      </w:r>
      <w:r w:rsidR="00336D0E" w:rsidRPr="00FB5D8E">
        <w:rPr>
          <w:lang w:val="en-US"/>
        </w:rPr>
        <w:t xml:space="preserve"> </w:t>
      </w:r>
      <w:r w:rsidR="002C0C71" w:rsidRPr="00FB5D8E">
        <w:rPr>
          <w:lang w:val="en-US"/>
        </w:rPr>
        <w:t>#3”)</w:t>
      </w:r>
      <w:r w:rsidR="00EC6E15" w:rsidRPr="00FB5D8E">
        <w:rPr>
          <w:lang w:val="en-US"/>
        </w:rPr>
        <w:t xml:space="preserve">. </w:t>
      </w:r>
      <w:r w:rsidRPr="00FB5D8E">
        <w:rPr>
          <w:lang w:val="en-US"/>
        </w:rPr>
        <w:t>For example, Case 3 and Case 4 are shown in below figure:</w:t>
      </w:r>
    </w:p>
    <w:p w14:paraId="3E2B7583" w14:textId="77777777" w:rsidR="00EB0789" w:rsidRDefault="00EB0789" w:rsidP="00EB0789">
      <w:pPr>
        <w:jc w:val="center"/>
      </w:pPr>
      <w:r>
        <w:rPr>
          <w:noProof/>
        </w:rPr>
        <w:drawing>
          <wp:inline distT="0" distB="0" distL="0" distR="0" wp14:anchorId="441235DC" wp14:editId="09A92220">
            <wp:extent cx="3026793" cy="4803775"/>
            <wp:effectExtent l="0" t="0" r="254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039896" cy="4824570"/>
                    </a:xfrm>
                    <a:prstGeom prst="rect">
                      <a:avLst/>
                    </a:prstGeom>
                  </pic:spPr>
                </pic:pic>
              </a:graphicData>
            </a:graphic>
          </wp:inline>
        </w:drawing>
      </w:r>
    </w:p>
    <w:p w14:paraId="24480B1E" w14:textId="77777777" w:rsidR="00EB0789" w:rsidRPr="00FB5D8E" w:rsidRDefault="00EB0789" w:rsidP="00EB0789">
      <w:pPr>
        <w:jc w:val="center"/>
        <w:rPr>
          <w:lang w:val="en-US"/>
        </w:rPr>
      </w:pPr>
      <w:r w:rsidRPr="00FB5D8E">
        <w:rPr>
          <w:lang w:val="en-US"/>
        </w:rPr>
        <w:t>Fig. 1, Case 3 and Case 4 where UL and DL has different contiguity</w:t>
      </w:r>
    </w:p>
    <w:p w14:paraId="7997D276" w14:textId="0C4D7528" w:rsidR="00EC6E15" w:rsidRPr="00FB5D8E" w:rsidRDefault="00EC6E15" w:rsidP="00EB0789">
      <w:pPr>
        <w:jc w:val="both"/>
        <w:rPr>
          <w:bCs/>
          <w:lang w:val="en-US"/>
        </w:rPr>
      </w:pPr>
      <w:r w:rsidRPr="00FB5D8E">
        <w:rPr>
          <w:bCs/>
          <w:lang w:val="en-US"/>
        </w:rPr>
        <w:t xml:space="preserve">In this case, </w:t>
      </w:r>
      <w:r w:rsidR="00713F41" w:rsidRPr="00FB5D8E">
        <w:rPr>
          <w:bCs/>
          <w:lang w:val="en-US"/>
        </w:rPr>
        <w:t xml:space="preserve">with the implicit rule that the capability applies to both UL and DL, only “both” </w:t>
      </w:r>
      <w:r w:rsidR="00636B46" w:rsidRPr="00FB5D8E">
        <w:rPr>
          <w:bCs/>
          <w:lang w:val="en-US"/>
        </w:rPr>
        <w:t>can</w:t>
      </w:r>
      <w:r w:rsidR="00713F41" w:rsidRPr="00FB5D8E">
        <w:rPr>
          <w:bCs/>
          <w:lang w:val="en-US"/>
        </w:rPr>
        <w:t xml:space="preserve"> indicate for this </w:t>
      </w:r>
      <w:r w:rsidR="00636B46" w:rsidRPr="00FB5D8E">
        <w:rPr>
          <w:bCs/>
          <w:lang w:val="en-US"/>
        </w:rPr>
        <w:t>kind of capability</w:t>
      </w:r>
      <w:r w:rsidR="00713F41" w:rsidRPr="00FB5D8E">
        <w:rPr>
          <w:bCs/>
          <w:lang w:val="en-US"/>
        </w:rPr>
        <w:t>.</w:t>
      </w:r>
      <w:r w:rsidR="002C0C71" w:rsidRPr="00FB5D8E">
        <w:rPr>
          <w:bCs/>
          <w:lang w:val="en-US"/>
        </w:rPr>
        <w:t xml:space="preserve"> Therefore, if a UE report “both” for EN-DC support, it means the UE support the configurations </w:t>
      </w:r>
      <w:r w:rsidR="0087755E" w:rsidRPr="00FB5D8E">
        <w:rPr>
          <w:bCs/>
          <w:lang w:val="en-US"/>
        </w:rPr>
        <w:t xml:space="preserve">of </w:t>
      </w:r>
      <w:r w:rsidR="002C0C71" w:rsidRPr="00FB5D8E">
        <w:rPr>
          <w:bCs/>
          <w:lang w:val="en-US"/>
        </w:rPr>
        <w:t xml:space="preserve">Config#1, Config#2, and Config#3. </w:t>
      </w:r>
    </w:p>
    <w:p w14:paraId="61B207CF" w14:textId="25C9C14B" w:rsidR="00EB0789" w:rsidRPr="00FB5D8E" w:rsidRDefault="00EB0789" w:rsidP="00EB0789">
      <w:pPr>
        <w:jc w:val="both"/>
        <w:rPr>
          <w:b/>
          <w:lang w:val="en-US"/>
        </w:rPr>
      </w:pPr>
      <w:bookmarkStart w:id="4" w:name="OLE_LINK1"/>
      <w:bookmarkStart w:id="5" w:name="OLE_LINK7"/>
      <w:r w:rsidRPr="00FB5D8E">
        <w:rPr>
          <w:b/>
          <w:lang w:val="en-US"/>
        </w:rPr>
        <w:t xml:space="preserve">Observation </w:t>
      </w:r>
      <w:r w:rsidR="00713F41" w:rsidRPr="00FB5D8E">
        <w:rPr>
          <w:b/>
          <w:lang w:val="en-US"/>
        </w:rPr>
        <w:t>2</w:t>
      </w:r>
      <w:r w:rsidRPr="00FB5D8E">
        <w:rPr>
          <w:b/>
          <w:lang w:val="en-US"/>
        </w:rPr>
        <w:t xml:space="preserve">: </w:t>
      </w:r>
      <w:bookmarkEnd w:id="4"/>
      <w:r w:rsidR="00636B46" w:rsidRPr="00FB5D8E">
        <w:rPr>
          <w:b/>
          <w:lang w:val="en-US"/>
        </w:rPr>
        <w:t>T</w:t>
      </w:r>
      <w:r w:rsidR="00713F41" w:rsidRPr="00FB5D8E">
        <w:rPr>
          <w:b/>
          <w:lang w:val="en-US"/>
        </w:rPr>
        <w:t xml:space="preserve">he </w:t>
      </w:r>
      <w:r w:rsidR="00636B46" w:rsidRPr="00FB5D8E">
        <w:rPr>
          <w:b/>
          <w:lang w:val="en-US"/>
        </w:rPr>
        <w:t xml:space="preserve">reported </w:t>
      </w:r>
      <w:r w:rsidR="00713F41" w:rsidRPr="00FB5D8E">
        <w:rPr>
          <w:b/>
          <w:lang w:val="en-US"/>
        </w:rPr>
        <w:t>capability of “both”</w:t>
      </w:r>
      <w:r w:rsidR="0087755E" w:rsidRPr="00FB5D8E">
        <w:rPr>
          <w:b/>
          <w:lang w:val="en-US"/>
        </w:rPr>
        <w:t xml:space="preserve"> should be interpreted by network as the support of configurations of Config#1 where both UL and DL are contiguous, Config#2 where both UL and DL are non-contiguous, and Config#3 where UL and DL has different contiguity. </w:t>
      </w:r>
    </w:p>
    <w:bookmarkEnd w:id="5"/>
    <w:p w14:paraId="05E28192" w14:textId="5EA0A5F8" w:rsidR="00EB0789" w:rsidRPr="00162A02" w:rsidRDefault="00EB0789" w:rsidP="00EB0789">
      <w:pPr>
        <w:pStyle w:val="Heading2"/>
      </w:pPr>
      <w:r>
        <w:t xml:space="preserve">2.2 </w:t>
      </w:r>
      <w:r w:rsidR="00C27109">
        <w:t>Handling of</w:t>
      </w:r>
      <w:r>
        <w:t xml:space="preserve"> </w:t>
      </w:r>
      <w:r w:rsidR="008B75A9">
        <w:t xml:space="preserve">intra-band EN-DC configuration in </w:t>
      </w:r>
      <w:r>
        <w:t>RAN4 specs</w:t>
      </w:r>
    </w:p>
    <w:p w14:paraId="5D916AB2" w14:textId="07C13305" w:rsidR="00EB0789" w:rsidRPr="00FB5D8E" w:rsidRDefault="00EB0789" w:rsidP="00EB0789">
      <w:pPr>
        <w:jc w:val="both"/>
        <w:rPr>
          <w:bCs/>
          <w:lang w:val="en-US"/>
        </w:rPr>
      </w:pPr>
      <w:r w:rsidRPr="00FB5D8E">
        <w:rPr>
          <w:bCs/>
          <w:lang w:val="en-US"/>
        </w:rPr>
        <w:t xml:space="preserve">As analyzed in the previous sub-section, all of the following configurations are supported </w:t>
      </w:r>
      <w:bookmarkStart w:id="6" w:name="_Hlk134370752"/>
      <w:r w:rsidR="004A4B5C" w:rsidRPr="00FB5D8E">
        <w:rPr>
          <w:bCs/>
          <w:lang w:val="en-US"/>
        </w:rPr>
        <w:t>from</w:t>
      </w:r>
      <w:r w:rsidRPr="00FB5D8E">
        <w:rPr>
          <w:bCs/>
          <w:lang w:val="en-US"/>
        </w:rPr>
        <w:t xml:space="preserve"> RAN4’s perspective if “both” is reported for intra-band EN-DC:</w:t>
      </w:r>
    </w:p>
    <w:p w14:paraId="2EB71265" w14:textId="35C19D60" w:rsidR="00EB0789" w:rsidRPr="00FB5D8E" w:rsidRDefault="00EB0789" w:rsidP="00EB0789">
      <w:pPr>
        <w:pStyle w:val="ListParagraph"/>
        <w:numPr>
          <w:ilvl w:val="0"/>
          <w:numId w:val="34"/>
        </w:numPr>
        <w:jc w:val="both"/>
        <w:rPr>
          <w:bCs/>
          <w:lang w:val="en-US"/>
        </w:rPr>
      </w:pPr>
      <w:r w:rsidRPr="00FB5D8E">
        <w:rPr>
          <w:bCs/>
          <w:lang w:val="en-US"/>
        </w:rPr>
        <w:t>Config#1: the configuration set where both UL and DL are operated in a contiguous spectrum</w:t>
      </w:r>
    </w:p>
    <w:p w14:paraId="40497D77" w14:textId="040A80DD" w:rsidR="00EB0789" w:rsidRPr="00FB5D8E" w:rsidRDefault="00EB0789" w:rsidP="00EB0789">
      <w:pPr>
        <w:pStyle w:val="ListParagraph"/>
        <w:numPr>
          <w:ilvl w:val="0"/>
          <w:numId w:val="34"/>
        </w:numPr>
        <w:jc w:val="both"/>
        <w:rPr>
          <w:bCs/>
          <w:lang w:val="en-US"/>
        </w:rPr>
      </w:pPr>
      <w:r w:rsidRPr="00FB5D8E">
        <w:rPr>
          <w:bCs/>
          <w:lang w:val="en-US"/>
        </w:rPr>
        <w:t>Config#2: the configuration set where both UL and DL are operated in a non-contiguous spectrum</w:t>
      </w:r>
    </w:p>
    <w:p w14:paraId="5E5F10BA" w14:textId="215CFA0D" w:rsidR="00EB0789" w:rsidRPr="00FB5D8E" w:rsidRDefault="00EB0789" w:rsidP="00EB0789">
      <w:pPr>
        <w:pStyle w:val="ListParagraph"/>
        <w:numPr>
          <w:ilvl w:val="0"/>
          <w:numId w:val="34"/>
        </w:numPr>
        <w:jc w:val="both"/>
        <w:rPr>
          <w:bCs/>
          <w:lang w:val="en-US"/>
        </w:rPr>
      </w:pPr>
      <w:r w:rsidRPr="00FB5D8E">
        <w:rPr>
          <w:bCs/>
          <w:lang w:val="en-US"/>
        </w:rPr>
        <w:t>Config#3: the configuration set where UL and DL has different contiguity</w:t>
      </w:r>
    </w:p>
    <w:bookmarkEnd w:id="6"/>
    <w:p w14:paraId="001188E4" w14:textId="3D07FE0B" w:rsidR="00EB0789" w:rsidRPr="00FB5D8E" w:rsidRDefault="00EB0789" w:rsidP="00EB0789">
      <w:pPr>
        <w:jc w:val="both"/>
        <w:rPr>
          <w:bCs/>
          <w:lang w:val="en-US"/>
        </w:rPr>
      </w:pPr>
      <w:r w:rsidRPr="00FB5D8E">
        <w:rPr>
          <w:bCs/>
          <w:lang w:val="en-US"/>
        </w:rPr>
        <w:lastRenderedPageBreak/>
        <w:t xml:space="preserve">Obviously, it would be clear if RAN4 specifies these three configurations separately in different subclauses, where Config#1 is specified where both UL and DL has contiguous spectrum, and Config#2 is specified where both UL and DL has non-contiguous spectrum, and Config#3 is specified where UL and DL has different contiguity. Therefore, we propose to add a new sub-clause, where Config#3 is specified. In such a way, the reporting of intra-band ENDC capability would become concise. </w:t>
      </w:r>
    </w:p>
    <w:p w14:paraId="3BBD33B9" w14:textId="77777777" w:rsidR="00EB0789" w:rsidRPr="00FB5D8E" w:rsidRDefault="00EB0789" w:rsidP="00EB0789">
      <w:pPr>
        <w:jc w:val="both"/>
        <w:rPr>
          <w:bCs/>
          <w:lang w:val="en-US"/>
        </w:rPr>
      </w:pPr>
      <w:r w:rsidRPr="00FB5D8E">
        <w:rPr>
          <w:bCs/>
          <w:lang w:val="en-US"/>
        </w:rPr>
        <w:t xml:space="preserve">The corresponding CR is shown in our companion CR [4].  </w:t>
      </w:r>
    </w:p>
    <w:p w14:paraId="64761015" w14:textId="76300881" w:rsidR="00EB0789" w:rsidRPr="00FB5D8E" w:rsidRDefault="00EB0789" w:rsidP="00EB0789">
      <w:pPr>
        <w:jc w:val="both"/>
        <w:rPr>
          <w:b/>
          <w:lang w:val="en-US"/>
        </w:rPr>
      </w:pPr>
      <w:bookmarkStart w:id="7" w:name="OLE_LINK2"/>
      <w:r w:rsidRPr="00FB5D8E">
        <w:rPr>
          <w:b/>
          <w:lang w:val="en-US"/>
        </w:rPr>
        <w:t>Proposal: RAN4 to specify Config#1 (both UL and DL has contiguous spectrum), Config#2 (both UL and DL has non-contiguous spectrum) and Config#3 (UL and DL has different contiguity) in different sub-clauses corresponding to different values reported in intraBandENDC-Support.</w:t>
      </w:r>
    </w:p>
    <w:p w14:paraId="73333CB6" w14:textId="3215698C" w:rsidR="00EB0789" w:rsidRPr="00FB5D8E" w:rsidRDefault="00EB0789" w:rsidP="00EB0789">
      <w:pPr>
        <w:jc w:val="both"/>
        <w:rPr>
          <w:bCs/>
          <w:lang w:val="en-US"/>
        </w:rPr>
      </w:pPr>
    </w:p>
    <w:bookmarkEnd w:id="7"/>
    <w:p w14:paraId="0FAD0FED" w14:textId="4D08F0F9" w:rsidR="00EB0789" w:rsidRPr="004D4F98" w:rsidRDefault="00EB0789" w:rsidP="00EB0789">
      <w:pPr>
        <w:pStyle w:val="Heading1"/>
        <w:numPr>
          <w:ilvl w:val="0"/>
          <w:numId w:val="3"/>
        </w:numPr>
        <w:rPr>
          <w:lang w:val="en-US"/>
        </w:rPr>
      </w:pPr>
      <w:r>
        <w:rPr>
          <w:lang w:val="en-US"/>
        </w:rPr>
        <w:t>Conclusion</w:t>
      </w:r>
    </w:p>
    <w:p w14:paraId="7D48A9AC" w14:textId="77777777" w:rsidR="00EB0789" w:rsidRPr="00FB5D8E" w:rsidRDefault="00EB0789" w:rsidP="00EB0789">
      <w:pPr>
        <w:jc w:val="both"/>
        <w:rPr>
          <w:lang w:val="en-US" w:eastAsia="ja-JP"/>
        </w:rPr>
      </w:pPr>
      <w:r w:rsidRPr="00FB5D8E">
        <w:rPr>
          <w:lang w:val="en-US" w:eastAsia="ja-JP"/>
        </w:rPr>
        <w:t>In this contribution we have the following observations and proposal for specifying intra-band ENDC support capability</w:t>
      </w:r>
      <w:r w:rsidRPr="00FB5D8E">
        <w:rPr>
          <w:lang w:val="en-US"/>
        </w:rPr>
        <w:t>:</w:t>
      </w:r>
    </w:p>
    <w:p w14:paraId="1B9D50A0" w14:textId="4786B589" w:rsidR="00EB0789" w:rsidRPr="00FB5D8E" w:rsidRDefault="00C102DD" w:rsidP="00EB0789">
      <w:pPr>
        <w:jc w:val="both"/>
        <w:rPr>
          <w:b/>
          <w:bCs/>
          <w:lang w:val="en-US"/>
        </w:rPr>
      </w:pPr>
      <w:r w:rsidRPr="00FB5D8E">
        <w:rPr>
          <w:b/>
          <w:bCs/>
          <w:lang w:val="en-US"/>
        </w:rPr>
        <w:t>Observation 1: In the current RAN2 specs, the IE “</w:t>
      </w:r>
      <w:r w:rsidRPr="00FB5D8E">
        <w:rPr>
          <w:b/>
          <w:bCs/>
          <w:i/>
          <w:iCs/>
          <w:lang w:val="en-US"/>
        </w:rPr>
        <w:t>intraBandENDC-Support</w:t>
      </w:r>
      <w:r w:rsidRPr="00FB5D8E">
        <w:rPr>
          <w:b/>
          <w:bCs/>
          <w:lang w:val="en-US"/>
        </w:rPr>
        <w:t>” does not differentiate UL and DL, therefore implies the same spectrum contiguity of both UL and DL.</w:t>
      </w:r>
    </w:p>
    <w:p w14:paraId="716350C1" w14:textId="0A1DFAD2" w:rsidR="00C102DD" w:rsidRPr="00FB5D8E" w:rsidRDefault="00C102DD" w:rsidP="00EB0789">
      <w:pPr>
        <w:jc w:val="both"/>
        <w:rPr>
          <w:b/>
          <w:lang w:val="en-US"/>
        </w:rPr>
      </w:pPr>
      <w:r w:rsidRPr="00FB5D8E">
        <w:rPr>
          <w:b/>
          <w:lang w:val="en-US"/>
        </w:rPr>
        <w:t>Observation 2: The reported capability of “both” should be interpreted by network as the support of configurations of Config#1 where both UL and DL are contiguous, Config#2 where both UL and DL are non-contiguous, and Config#3 where UL and DL has different contiguity.</w:t>
      </w:r>
    </w:p>
    <w:p w14:paraId="3CAF60A6" w14:textId="2F1BA53C" w:rsidR="00C102DD" w:rsidRPr="00FB5D8E" w:rsidRDefault="00C102DD" w:rsidP="00EB0789">
      <w:pPr>
        <w:jc w:val="both"/>
        <w:rPr>
          <w:lang w:val="en-US"/>
        </w:rPr>
      </w:pPr>
      <w:r w:rsidRPr="00FB5D8E">
        <w:rPr>
          <w:b/>
          <w:lang w:val="en-US"/>
        </w:rPr>
        <w:t>Proposal: RAN4 to specify Config#1 (both UL and DL has contiguous spectrum), Config#2 (both UL and DL has non-contiguous spectrum) and Config#3 (UL and DL has different contiguity) in different sub-clauses corresponding to different values reported in intraBandENDC-Support.</w:t>
      </w:r>
    </w:p>
    <w:p w14:paraId="6E19F333" w14:textId="75047F01" w:rsidR="00EB0789" w:rsidRPr="002825E6" w:rsidRDefault="00EB0789" w:rsidP="002825E6">
      <w:pPr>
        <w:pStyle w:val="Heading1"/>
        <w:ind w:left="0" w:firstLine="0"/>
        <w:rPr>
          <w:lang w:val="en-US"/>
        </w:rPr>
      </w:pPr>
      <w:r w:rsidRPr="002331D3">
        <w:rPr>
          <w:lang w:val="en-US"/>
        </w:rPr>
        <w:t>References</w:t>
      </w:r>
      <w:bookmarkStart w:id="8" w:name="OLE_LINK12"/>
      <w:bookmarkStart w:id="9" w:name="_Ref101774927"/>
    </w:p>
    <w:p w14:paraId="7493CDC1" w14:textId="27204CFD" w:rsidR="00EB0789" w:rsidRPr="00FB5D8E" w:rsidRDefault="00EB0789" w:rsidP="00EB0789">
      <w:pPr>
        <w:pStyle w:val="ListParagraph"/>
        <w:numPr>
          <w:ilvl w:val="0"/>
          <w:numId w:val="2"/>
        </w:numPr>
        <w:rPr>
          <w:lang w:val="en-US"/>
        </w:rPr>
      </w:pPr>
      <w:r w:rsidRPr="00FB5D8E">
        <w:rPr>
          <w:lang w:val="en-US"/>
        </w:rPr>
        <w:t>R4-2</w:t>
      </w:r>
      <w:r w:rsidR="00B16620" w:rsidRPr="00FB5D8E">
        <w:rPr>
          <w:lang w:val="en-US"/>
        </w:rPr>
        <w:t>3</w:t>
      </w:r>
      <w:r w:rsidRPr="00FB5D8E">
        <w:rPr>
          <w:lang w:val="en-US"/>
        </w:rPr>
        <w:t>0</w:t>
      </w:r>
      <w:r w:rsidR="00B16620" w:rsidRPr="00FB5D8E">
        <w:rPr>
          <w:lang w:val="en-US"/>
        </w:rPr>
        <w:t>3635</w:t>
      </w:r>
      <w:r w:rsidRPr="00FB5D8E">
        <w:rPr>
          <w:lang w:val="en-US"/>
        </w:rPr>
        <w:t xml:space="preserve">, </w:t>
      </w:r>
      <w:r w:rsidR="00B16620" w:rsidRPr="00FB5D8E">
        <w:rPr>
          <w:lang w:val="en-US"/>
        </w:rPr>
        <w:t>WF on Inconsistency Issue for Intra-band EN-DC Band Combinations</w:t>
      </w:r>
      <w:r w:rsidRPr="00FB5D8E">
        <w:rPr>
          <w:lang w:val="en-US"/>
        </w:rPr>
        <w:t xml:space="preserve">, </w:t>
      </w:r>
      <w:r w:rsidR="00B16620" w:rsidRPr="00FB5D8E">
        <w:rPr>
          <w:lang w:val="en-US"/>
        </w:rPr>
        <w:t>AT&amp;T</w:t>
      </w:r>
    </w:p>
    <w:bookmarkEnd w:id="8"/>
    <w:bookmarkEnd w:id="9"/>
    <w:p w14:paraId="29F69235" w14:textId="13EADD9E" w:rsidR="003E38C2" w:rsidRPr="00FB5D8E" w:rsidRDefault="003E38C2" w:rsidP="00EB0789">
      <w:pPr>
        <w:pStyle w:val="ListParagraph"/>
        <w:numPr>
          <w:ilvl w:val="0"/>
          <w:numId w:val="2"/>
        </w:numPr>
        <w:rPr>
          <w:lang w:val="en-US"/>
        </w:rPr>
      </w:pPr>
      <w:r w:rsidRPr="00FB5D8E">
        <w:rPr>
          <w:lang w:val="en-US"/>
        </w:rPr>
        <w:t>R4-2301590, Further discussion on intra-band ENDC support capability, MediaTek</w:t>
      </w:r>
    </w:p>
    <w:p w14:paraId="28216A84" w14:textId="77777777" w:rsidR="00DC5893" w:rsidRPr="00FB5D8E" w:rsidRDefault="00DC5893" w:rsidP="00DC5893">
      <w:pPr>
        <w:pStyle w:val="ListParagraph"/>
        <w:numPr>
          <w:ilvl w:val="0"/>
          <w:numId w:val="2"/>
        </w:numPr>
        <w:rPr>
          <w:lang w:val="en-US"/>
        </w:rPr>
      </w:pPr>
      <w:r w:rsidRPr="00FB5D8E">
        <w:rPr>
          <w:lang w:val="en-US"/>
        </w:rPr>
        <w:t>R4-230xxxx, CR to TS 38.101-3 on intra-band ENDC support, MediaTek</w:t>
      </w:r>
    </w:p>
    <w:p w14:paraId="7F1D7514" w14:textId="77777777" w:rsidR="00DC5893" w:rsidRPr="00FB5D8E" w:rsidRDefault="00DC5893" w:rsidP="00DC5893">
      <w:pPr>
        <w:rPr>
          <w:lang w:val="en-US"/>
        </w:rPr>
      </w:pPr>
    </w:p>
    <w:sectPr w:rsidR="00DC5893" w:rsidRPr="00FB5D8E"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A684D" w14:textId="77777777" w:rsidR="00403026" w:rsidRDefault="00403026">
      <w:pPr>
        <w:spacing w:after="0"/>
      </w:pPr>
      <w:r>
        <w:separator/>
      </w:r>
    </w:p>
  </w:endnote>
  <w:endnote w:type="continuationSeparator" w:id="0">
    <w:p w14:paraId="51534B6C" w14:textId="77777777" w:rsidR="00403026" w:rsidRDefault="004030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22AED" w14:textId="77777777" w:rsidR="00403026" w:rsidRDefault="00403026">
      <w:pPr>
        <w:spacing w:after="0"/>
      </w:pPr>
      <w:r>
        <w:separator/>
      </w:r>
    </w:p>
  </w:footnote>
  <w:footnote w:type="continuationSeparator" w:id="0">
    <w:p w14:paraId="3CD3AF26" w14:textId="77777777" w:rsidR="00403026" w:rsidRDefault="004030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1511658"/>
    <w:multiLevelType w:val="hybridMultilevel"/>
    <w:tmpl w:val="60808BC2"/>
    <w:lvl w:ilvl="0" w:tplc="5ACE28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5"/>
  </w:num>
  <w:num w:numId="13">
    <w:abstractNumId w:val="7"/>
  </w:num>
  <w:num w:numId="14">
    <w:abstractNumId w:val="9"/>
  </w:num>
  <w:num w:numId="15">
    <w:abstractNumId w:val="24"/>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7"/>
  </w:num>
  <w:num w:numId="29">
    <w:abstractNumId w:val="16"/>
  </w:num>
  <w:num w:numId="30">
    <w:abstractNumId w:val="3"/>
  </w:num>
  <w:num w:numId="31">
    <w:abstractNumId w:val="23"/>
  </w:num>
  <w:num w:numId="32">
    <w:abstractNumId w:val="8"/>
  </w:num>
  <w:num w:numId="33">
    <w:abstractNumId w:val="15"/>
  </w:num>
  <w:num w:numId="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0E6E"/>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5E6"/>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C71"/>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6D0E"/>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28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8C2"/>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6"/>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31E"/>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08"/>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4B5C"/>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5A6"/>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23B"/>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6B46"/>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3F41"/>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5E"/>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A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5F"/>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620"/>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C99"/>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2DD"/>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109"/>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893"/>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9B0"/>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B74"/>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78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E15"/>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23B"/>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5D8E"/>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D8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B5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D8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2023-05-07T14:18:00Z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